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F5" w:rsidRDefault="002868F5" w:rsidP="002868F5">
      <w:pPr>
        <w:pStyle w:val="western"/>
        <w:spacing w:after="0" w:line="360" w:lineRule="auto"/>
        <w:ind w:left="-567"/>
        <w:jc w:val="both"/>
        <w:rPr>
          <w:rFonts w:ascii="Arial" w:hAnsi="Arial" w:cs="Arial"/>
          <w:b/>
          <w:bCs/>
          <w:shd w:val="clear" w:color="auto" w:fill="FFFF00"/>
        </w:rPr>
      </w:pPr>
      <w:bookmarkStart w:id="0" w:name="__DdeLink__900_128612926"/>
      <w:r w:rsidRPr="0014250C">
        <w:rPr>
          <w:rFonts w:ascii="Arial" w:hAnsi="Arial" w:cs="Arial"/>
          <w:b/>
          <w:bCs/>
          <w:shd w:val="clear" w:color="auto" w:fill="FFFF00"/>
        </w:rPr>
        <w:t>COMUNICADO SECULT – Edital N.</w:t>
      </w:r>
      <w:r w:rsidRPr="0014250C">
        <w:rPr>
          <w:rFonts w:ascii="Arial" w:hAnsi="Arial" w:cs="Arial"/>
          <w:b/>
          <w:bCs/>
          <w:color w:val="FF3333"/>
          <w:shd w:val="clear" w:color="auto" w:fill="FFFF00"/>
        </w:rPr>
        <w:t xml:space="preserve"> </w:t>
      </w:r>
      <w:bookmarkEnd w:id="0"/>
      <w:r w:rsidRPr="0014250C">
        <w:rPr>
          <w:rFonts w:ascii="Arial" w:hAnsi="Arial" w:cs="Arial"/>
          <w:b/>
          <w:bCs/>
          <w:shd w:val="clear" w:color="auto" w:fill="FFFF00"/>
        </w:rPr>
        <w:t>09/2015/LINC</w:t>
      </w:r>
    </w:p>
    <w:p w:rsidR="002868F5" w:rsidRDefault="002868F5" w:rsidP="002868F5">
      <w:pPr>
        <w:pStyle w:val="western"/>
        <w:spacing w:after="0" w:line="360" w:lineRule="auto"/>
        <w:ind w:left="-567"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COMISSÃO DE INSTRUÇÃO, ANÁLISE E FISCALIZAÇÃO DE PROJETOS CULTURAIS, criada pela Lei n.º 11.066, de 16 de março de 2015, composta pelos membros nomeados pelo Decreto n º 21.713, de 19 de março de 2015, faz </w:t>
      </w:r>
      <w:r w:rsidR="007A6FC2">
        <w:rPr>
          <w:rFonts w:ascii="Arial" w:hAnsi="Arial" w:cs="Arial"/>
        </w:rPr>
        <w:t xml:space="preserve">saber o resultado da lista dos proponentes pré-habilitados </w:t>
      </w:r>
      <w:r>
        <w:rPr>
          <w:rFonts w:ascii="Arial" w:hAnsi="Arial" w:cs="Arial"/>
        </w:rPr>
        <w:t xml:space="preserve">inscritos pelo edital SECULT 09/2015. </w:t>
      </w:r>
    </w:p>
    <w:p w:rsidR="002868F5" w:rsidRDefault="002868F5" w:rsidP="002868F5">
      <w:pPr>
        <w:pStyle w:val="western"/>
        <w:spacing w:after="0" w:line="360" w:lineRule="auto"/>
        <w:ind w:left="-567" w:right="-340"/>
        <w:jc w:val="both"/>
        <w:rPr>
          <w:rFonts w:ascii="Arial" w:hAnsi="Arial" w:cs="Arial"/>
        </w:rPr>
      </w:pPr>
    </w:p>
    <w:tbl>
      <w:tblPr>
        <w:tblW w:w="9373" w:type="dxa"/>
        <w:tblCellSpacing w:w="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090"/>
        <w:gridCol w:w="1011"/>
        <w:gridCol w:w="2281"/>
        <w:gridCol w:w="1417"/>
        <w:gridCol w:w="584"/>
        <w:gridCol w:w="1423"/>
      </w:tblGrid>
      <w:tr w:rsidR="007A6FC2" w:rsidRPr="007A6FC2" w:rsidTr="001D28F7">
        <w:trPr>
          <w:trHeight w:val="450"/>
          <w:tblCellSpacing w:w="0" w:type="dxa"/>
        </w:trPr>
        <w:tc>
          <w:tcPr>
            <w:tcW w:w="9373" w:type="dxa"/>
            <w:gridSpan w:val="7"/>
            <w:shd w:val="clear" w:color="auto" w:fill="8DB4E2"/>
            <w:vAlign w:val="center"/>
            <w:hideMark/>
          </w:tcPr>
          <w:p w:rsidR="007A6FC2" w:rsidRPr="007A6FC2" w:rsidRDefault="007A6FC2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32"/>
                <w:szCs w:val="32"/>
                <w:lang w:eastAsia="pt-BR"/>
              </w:rPr>
            </w:pPr>
            <w:r w:rsidRPr="002027F8">
              <w:rPr>
                <w:rFonts w:ascii="Liberation Sans" w:eastAsia="Times New Roman" w:hAnsi="Liberation Sans" w:cs="Times New Roman"/>
                <w:b/>
                <w:bCs/>
                <w:color w:val="000000"/>
                <w:sz w:val="32"/>
                <w:szCs w:val="32"/>
                <w:lang w:eastAsia="pt-BR"/>
              </w:rPr>
              <w:t>Pré - Habilitados</w:t>
            </w:r>
            <w:r w:rsidRPr="007A6FC2">
              <w:rPr>
                <w:rFonts w:ascii="Liberation Sans" w:eastAsia="Times New Roman" w:hAnsi="Liberation Sans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 – P</w:t>
            </w:r>
            <w:r w:rsidRPr="002027F8">
              <w:rPr>
                <w:rFonts w:ascii="Liberation Sans" w:eastAsia="Times New Roman" w:hAnsi="Liberation Sans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rojetos </w:t>
            </w:r>
            <w:r w:rsidRPr="007A6FC2">
              <w:rPr>
                <w:rFonts w:ascii="Liberation Sans" w:eastAsia="Times New Roman" w:hAnsi="Liberation Sans" w:cs="Times New Roman"/>
                <w:b/>
                <w:bCs/>
                <w:color w:val="000000"/>
                <w:sz w:val="32"/>
                <w:szCs w:val="32"/>
                <w:lang w:eastAsia="pt-BR"/>
              </w:rPr>
              <w:t>E</w:t>
            </w:r>
            <w:r w:rsidRPr="002027F8">
              <w:rPr>
                <w:rFonts w:ascii="Liberation Sans" w:eastAsia="Times New Roman" w:hAnsi="Liberation Sans" w:cs="Times New Roman"/>
                <w:b/>
                <w:bCs/>
                <w:color w:val="000000"/>
                <w:sz w:val="32"/>
                <w:szCs w:val="32"/>
                <w:lang w:eastAsia="pt-BR"/>
              </w:rPr>
              <w:t>xperientes</w:t>
            </w:r>
            <w:r w:rsidRPr="007A6FC2">
              <w:rPr>
                <w:rFonts w:ascii="Liberation Sans" w:eastAsia="Times New Roman" w:hAnsi="Liberation Sans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 - LINC 2015</w:t>
            </w:r>
          </w:p>
        </w:tc>
      </w:tr>
      <w:tr w:rsidR="007A6FC2" w:rsidRPr="007A6FC2" w:rsidTr="001D28F7">
        <w:trPr>
          <w:trHeight w:val="915"/>
          <w:tblCellSpacing w:w="0" w:type="dxa"/>
        </w:trPr>
        <w:tc>
          <w:tcPr>
            <w:tcW w:w="567" w:type="dxa"/>
            <w:shd w:val="clear" w:color="auto" w:fill="DBEEF4"/>
            <w:vAlign w:val="center"/>
            <w:hideMark/>
          </w:tcPr>
          <w:p w:rsidR="007A6FC2" w:rsidRPr="007A6FC2" w:rsidRDefault="007A6FC2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Nº </w:t>
            </w:r>
          </w:p>
        </w:tc>
        <w:tc>
          <w:tcPr>
            <w:tcW w:w="0" w:type="auto"/>
            <w:shd w:val="clear" w:color="auto" w:fill="DBEEF4"/>
            <w:vAlign w:val="center"/>
            <w:hideMark/>
          </w:tcPr>
          <w:p w:rsidR="007A6FC2" w:rsidRPr="007A6FC2" w:rsidRDefault="007A6FC2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t-BR"/>
              </w:rPr>
              <w:t>Proponente</w:t>
            </w:r>
          </w:p>
        </w:tc>
        <w:tc>
          <w:tcPr>
            <w:tcW w:w="1011" w:type="dxa"/>
            <w:shd w:val="clear" w:color="auto" w:fill="DBEEF4"/>
            <w:vAlign w:val="center"/>
            <w:hideMark/>
          </w:tcPr>
          <w:p w:rsidR="007A6FC2" w:rsidRPr="007A6FC2" w:rsidRDefault="007A6FC2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t-BR"/>
              </w:rPr>
              <w:t>Área</w:t>
            </w:r>
          </w:p>
        </w:tc>
        <w:tc>
          <w:tcPr>
            <w:tcW w:w="2281" w:type="dxa"/>
            <w:shd w:val="clear" w:color="auto" w:fill="DBEEF4"/>
            <w:vAlign w:val="center"/>
            <w:hideMark/>
          </w:tcPr>
          <w:p w:rsidR="007A6FC2" w:rsidRPr="007A6FC2" w:rsidRDefault="007A6FC2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Projeto</w:t>
            </w:r>
          </w:p>
        </w:tc>
        <w:tc>
          <w:tcPr>
            <w:tcW w:w="1417" w:type="dxa"/>
            <w:shd w:val="clear" w:color="auto" w:fill="DBEEF4"/>
            <w:vAlign w:val="center"/>
            <w:hideMark/>
          </w:tcPr>
          <w:p w:rsidR="007A6FC2" w:rsidRPr="007A6FC2" w:rsidRDefault="007A6FC2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</w:p>
          <w:p w:rsidR="007A6FC2" w:rsidRPr="007A6FC2" w:rsidRDefault="007A6FC2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Solicitado </w:t>
            </w:r>
          </w:p>
        </w:tc>
        <w:tc>
          <w:tcPr>
            <w:tcW w:w="0" w:type="auto"/>
            <w:shd w:val="clear" w:color="auto" w:fill="DBEEF4"/>
            <w:vAlign w:val="center"/>
            <w:hideMark/>
          </w:tcPr>
          <w:p w:rsidR="007A6FC2" w:rsidRPr="007A6FC2" w:rsidRDefault="007A6FC2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Nota </w:t>
            </w:r>
          </w:p>
        </w:tc>
        <w:tc>
          <w:tcPr>
            <w:tcW w:w="0" w:type="auto"/>
            <w:shd w:val="clear" w:color="auto" w:fill="DBEEF4"/>
            <w:vAlign w:val="center"/>
            <w:hideMark/>
          </w:tcPr>
          <w:p w:rsidR="007A6FC2" w:rsidRPr="007A6FC2" w:rsidRDefault="007A6FC2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Aprovado </w:t>
            </w:r>
          </w:p>
        </w:tc>
      </w:tr>
      <w:tr w:rsidR="002027F8" w:rsidRPr="007A6FC2" w:rsidTr="001D28F7">
        <w:trPr>
          <w:trHeight w:val="285"/>
          <w:tblCellSpacing w:w="0" w:type="dxa"/>
        </w:trPr>
        <w:tc>
          <w:tcPr>
            <w:tcW w:w="56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Júlio Cesar </w:t>
            </w:r>
            <w:proofErr w:type="spellStart"/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Scandolo</w:t>
            </w:r>
            <w:proofErr w:type="spellEnd"/>
          </w:p>
        </w:tc>
        <w:tc>
          <w:tcPr>
            <w:tcW w:w="101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Artes Cênicas</w:t>
            </w:r>
          </w:p>
        </w:tc>
        <w:tc>
          <w:tcPr>
            <w:tcW w:w="228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A Mariposa</w:t>
            </w:r>
          </w:p>
        </w:tc>
        <w:tc>
          <w:tcPr>
            <w:tcW w:w="141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R$ 51.055,00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7F8" w:rsidRPr="007A6FC2" w:rsidRDefault="002027F8" w:rsidP="009F752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R$ 51.055,00</w:t>
            </w:r>
          </w:p>
        </w:tc>
      </w:tr>
      <w:tr w:rsidR="002027F8" w:rsidRPr="007A6FC2" w:rsidTr="001D28F7">
        <w:trPr>
          <w:trHeight w:val="540"/>
          <w:tblCellSpacing w:w="0" w:type="dxa"/>
        </w:trPr>
        <w:tc>
          <w:tcPr>
            <w:tcW w:w="56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Marcio Roberto de Moraes Filho</w:t>
            </w:r>
          </w:p>
        </w:tc>
        <w:tc>
          <w:tcPr>
            <w:tcW w:w="101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Cinema e Vídeo</w:t>
            </w:r>
          </w:p>
        </w:tc>
        <w:tc>
          <w:tcPr>
            <w:tcW w:w="228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Mastrioska</w:t>
            </w:r>
            <w:proofErr w:type="spellEnd"/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 – Alma e Sombra</w:t>
            </w:r>
          </w:p>
        </w:tc>
        <w:tc>
          <w:tcPr>
            <w:tcW w:w="141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R$ 76.867,00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7F8" w:rsidRPr="007A6FC2" w:rsidRDefault="002027F8" w:rsidP="009F752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R$ 76.867,00</w:t>
            </w:r>
          </w:p>
        </w:tc>
      </w:tr>
      <w:tr w:rsidR="002027F8" w:rsidRPr="007A6FC2" w:rsidTr="001D28F7">
        <w:trPr>
          <w:trHeight w:val="540"/>
          <w:tblCellSpacing w:w="0" w:type="dxa"/>
        </w:trPr>
        <w:tc>
          <w:tcPr>
            <w:tcW w:w="56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Giancarlo Santos de Medeiros</w:t>
            </w:r>
          </w:p>
        </w:tc>
        <w:tc>
          <w:tcPr>
            <w:tcW w:w="101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Música</w:t>
            </w:r>
          </w:p>
        </w:tc>
        <w:tc>
          <w:tcPr>
            <w:tcW w:w="228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Conhecendo Villa-Lobos a bordo do seu trenzinho</w:t>
            </w:r>
          </w:p>
        </w:tc>
        <w:tc>
          <w:tcPr>
            <w:tcW w:w="141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R$ 25.178,85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9,75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7F8" w:rsidRPr="007A6FC2" w:rsidRDefault="002027F8" w:rsidP="009F752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R$ 25.178,85</w:t>
            </w:r>
          </w:p>
        </w:tc>
      </w:tr>
      <w:tr w:rsidR="002027F8" w:rsidRPr="007A6FC2" w:rsidTr="001D28F7">
        <w:trPr>
          <w:trHeight w:val="540"/>
          <w:tblCellSpacing w:w="0" w:type="dxa"/>
        </w:trPr>
        <w:tc>
          <w:tcPr>
            <w:tcW w:w="56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Daiana de Moura Bernardes Coelho</w:t>
            </w:r>
          </w:p>
        </w:tc>
        <w:tc>
          <w:tcPr>
            <w:tcW w:w="101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Artes Cênicas</w:t>
            </w:r>
          </w:p>
        </w:tc>
        <w:tc>
          <w:tcPr>
            <w:tcW w:w="228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Como o tempo, como o </w:t>
            </w:r>
            <w:proofErr w:type="gramStart"/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amor</w:t>
            </w:r>
            <w:proofErr w:type="gramEnd"/>
          </w:p>
        </w:tc>
        <w:tc>
          <w:tcPr>
            <w:tcW w:w="141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R$ 34.649,60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9,75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7F8" w:rsidRPr="007A6FC2" w:rsidRDefault="002027F8" w:rsidP="009F752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R$ 34.649,60</w:t>
            </w:r>
          </w:p>
        </w:tc>
      </w:tr>
      <w:tr w:rsidR="002027F8" w:rsidRPr="007A6FC2" w:rsidTr="001D28F7">
        <w:trPr>
          <w:trHeight w:val="540"/>
          <w:tblCellSpacing w:w="0" w:type="dxa"/>
        </w:trPr>
        <w:tc>
          <w:tcPr>
            <w:tcW w:w="56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Laura Guedes e Araújo</w:t>
            </w:r>
          </w:p>
        </w:tc>
        <w:tc>
          <w:tcPr>
            <w:tcW w:w="101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Artes Cênicas</w:t>
            </w:r>
          </w:p>
        </w:tc>
        <w:tc>
          <w:tcPr>
            <w:tcW w:w="228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Princípio do Caos: A guerra de um velho baixo centro</w:t>
            </w:r>
          </w:p>
        </w:tc>
        <w:tc>
          <w:tcPr>
            <w:tcW w:w="141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R$ 96.664,89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7F8" w:rsidRPr="007A6FC2" w:rsidRDefault="002027F8" w:rsidP="009F752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R$ 96.664,89</w:t>
            </w:r>
          </w:p>
        </w:tc>
      </w:tr>
      <w:tr w:rsidR="002027F8" w:rsidRPr="007A6FC2" w:rsidTr="001D28F7">
        <w:trPr>
          <w:trHeight w:val="285"/>
          <w:tblCellSpacing w:w="0" w:type="dxa"/>
        </w:trPr>
        <w:tc>
          <w:tcPr>
            <w:tcW w:w="56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Bruno </w:t>
            </w:r>
            <w:proofErr w:type="spellStart"/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Peretti</w:t>
            </w:r>
            <w:proofErr w:type="spellEnd"/>
          </w:p>
        </w:tc>
        <w:tc>
          <w:tcPr>
            <w:tcW w:w="101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Música</w:t>
            </w:r>
          </w:p>
        </w:tc>
        <w:tc>
          <w:tcPr>
            <w:tcW w:w="228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Romperia</w:t>
            </w:r>
          </w:p>
        </w:tc>
        <w:tc>
          <w:tcPr>
            <w:tcW w:w="141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R$ 42.497,05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9,25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7F8" w:rsidRPr="007A6FC2" w:rsidRDefault="002027F8" w:rsidP="009F752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R$ 42.497,05</w:t>
            </w:r>
          </w:p>
        </w:tc>
      </w:tr>
      <w:tr w:rsidR="002027F8" w:rsidRPr="007A6FC2" w:rsidTr="001D28F7">
        <w:trPr>
          <w:trHeight w:val="540"/>
          <w:tblCellSpacing w:w="0" w:type="dxa"/>
        </w:trPr>
        <w:tc>
          <w:tcPr>
            <w:tcW w:w="56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Rodrigo Ferreira de Souza</w:t>
            </w:r>
          </w:p>
        </w:tc>
        <w:tc>
          <w:tcPr>
            <w:tcW w:w="101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Música</w:t>
            </w:r>
          </w:p>
        </w:tc>
        <w:tc>
          <w:tcPr>
            <w:tcW w:w="228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Renascendo</w:t>
            </w:r>
          </w:p>
        </w:tc>
        <w:tc>
          <w:tcPr>
            <w:tcW w:w="141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R$ 27.628,00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7F8" w:rsidRPr="007A6FC2" w:rsidRDefault="002027F8" w:rsidP="009F752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R$ 27.628,00</w:t>
            </w:r>
          </w:p>
        </w:tc>
      </w:tr>
      <w:tr w:rsidR="002027F8" w:rsidRPr="007A6FC2" w:rsidTr="001D28F7">
        <w:trPr>
          <w:trHeight w:val="540"/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Rodrigo Cintra Marins</w:t>
            </w:r>
          </w:p>
        </w:tc>
        <w:tc>
          <w:tcPr>
            <w:tcW w:w="101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Artes Cênicas</w:t>
            </w:r>
          </w:p>
        </w:tc>
        <w:tc>
          <w:tcPr>
            <w:tcW w:w="228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Benecleto</w:t>
            </w:r>
            <w:proofErr w:type="spellEnd"/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 – Os Causos de Noé Godinho</w:t>
            </w:r>
          </w:p>
        </w:tc>
        <w:tc>
          <w:tcPr>
            <w:tcW w:w="141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R$ 80.110,00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7F8" w:rsidRPr="007A6FC2" w:rsidRDefault="002027F8" w:rsidP="009F752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R$ 80.110,00</w:t>
            </w:r>
          </w:p>
        </w:tc>
      </w:tr>
      <w:tr w:rsidR="002027F8" w:rsidRPr="007A6FC2" w:rsidTr="001D28F7">
        <w:trPr>
          <w:trHeight w:val="285"/>
          <w:tblCellSpacing w:w="0" w:type="dxa"/>
        </w:trPr>
        <w:tc>
          <w:tcPr>
            <w:tcW w:w="56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Jorge </w:t>
            </w:r>
            <w:proofErr w:type="spellStart"/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Facury</w:t>
            </w:r>
            <w:proofErr w:type="spellEnd"/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 Ferreira</w:t>
            </w:r>
          </w:p>
        </w:tc>
        <w:tc>
          <w:tcPr>
            <w:tcW w:w="101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Letras</w:t>
            </w:r>
          </w:p>
        </w:tc>
        <w:tc>
          <w:tcPr>
            <w:tcW w:w="228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Rimando a Vida</w:t>
            </w:r>
          </w:p>
        </w:tc>
        <w:tc>
          <w:tcPr>
            <w:tcW w:w="141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R$ 3.500,00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8,75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7F8" w:rsidRPr="007A6FC2" w:rsidRDefault="002027F8" w:rsidP="009F752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R$ 3.500,00</w:t>
            </w:r>
          </w:p>
        </w:tc>
      </w:tr>
      <w:tr w:rsidR="002027F8" w:rsidRPr="007A6FC2" w:rsidTr="001D28F7">
        <w:trPr>
          <w:trHeight w:val="540"/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Arlindo Cardoso Lima Neto</w:t>
            </w:r>
          </w:p>
        </w:tc>
        <w:tc>
          <w:tcPr>
            <w:tcW w:w="101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Música</w:t>
            </w:r>
          </w:p>
        </w:tc>
        <w:tc>
          <w:tcPr>
            <w:tcW w:w="228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Arlindo Lima &amp; Ramon Vieira: Som Tropeiro</w:t>
            </w:r>
          </w:p>
        </w:tc>
        <w:tc>
          <w:tcPr>
            <w:tcW w:w="141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R$ 79.510,00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8,75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7F8" w:rsidRPr="007A6FC2" w:rsidRDefault="002027F8" w:rsidP="009F752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R$ 79.510,00</w:t>
            </w:r>
          </w:p>
        </w:tc>
      </w:tr>
      <w:tr w:rsidR="002027F8" w:rsidRPr="007A6FC2" w:rsidTr="001D28F7">
        <w:trPr>
          <w:trHeight w:val="540"/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Marco </w:t>
            </w:r>
            <w:proofErr w:type="spellStart"/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 Rodrigues de Souza</w:t>
            </w:r>
          </w:p>
        </w:tc>
        <w:tc>
          <w:tcPr>
            <w:tcW w:w="101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Artes Cênicas</w:t>
            </w:r>
          </w:p>
        </w:tc>
        <w:tc>
          <w:tcPr>
            <w:tcW w:w="228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Relato Lírico do Negro Brasileiro</w:t>
            </w:r>
          </w:p>
        </w:tc>
        <w:tc>
          <w:tcPr>
            <w:tcW w:w="141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R$ 57.307,86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8,75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7F8" w:rsidRPr="007A6FC2" w:rsidRDefault="002027F8" w:rsidP="009F752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R$ 57.307,86</w:t>
            </w:r>
          </w:p>
        </w:tc>
      </w:tr>
      <w:tr w:rsidR="007A6FC2" w:rsidRPr="007A6FC2" w:rsidTr="001D28F7">
        <w:trPr>
          <w:trHeight w:val="540"/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7A6FC2" w:rsidRPr="007A6FC2" w:rsidRDefault="007A6FC2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7A6FC2" w:rsidRPr="007A6FC2" w:rsidRDefault="007A6FC2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Maria Claudia Braga e Oliveira</w:t>
            </w:r>
          </w:p>
        </w:tc>
        <w:tc>
          <w:tcPr>
            <w:tcW w:w="1011" w:type="dxa"/>
            <w:vAlign w:val="center"/>
            <w:hideMark/>
          </w:tcPr>
          <w:p w:rsidR="007A6FC2" w:rsidRPr="007A6FC2" w:rsidRDefault="007A6FC2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Letras</w:t>
            </w:r>
          </w:p>
        </w:tc>
        <w:tc>
          <w:tcPr>
            <w:tcW w:w="2281" w:type="dxa"/>
            <w:vAlign w:val="center"/>
            <w:hideMark/>
          </w:tcPr>
          <w:p w:rsidR="007A6FC2" w:rsidRPr="007A6FC2" w:rsidRDefault="007A6FC2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spellStart"/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Nigra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7A6FC2" w:rsidRPr="007A6FC2" w:rsidRDefault="007A6FC2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R$ 36.695,00</w:t>
            </w:r>
          </w:p>
        </w:tc>
        <w:tc>
          <w:tcPr>
            <w:tcW w:w="0" w:type="auto"/>
            <w:vAlign w:val="center"/>
            <w:hideMark/>
          </w:tcPr>
          <w:p w:rsidR="007A6FC2" w:rsidRPr="007A6FC2" w:rsidRDefault="007A6FC2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8,75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6FC2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R$ 35.695,00</w:t>
            </w:r>
          </w:p>
        </w:tc>
      </w:tr>
      <w:tr w:rsidR="002027F8" w:rsidRPr="007A6FC2" w:rsidTr="001D28F7">
        <w:trPr>
          <w:trHeight w:val="330"/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Rafael Ferraz</w:t>
            </w:r>
          </w:p>
        </w:tc>
        <w:tc>
          <w:tcPr>
            <w:tcW w:w="101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Festivais</w:t>
            </w:r>
          </w:p>
        </w:tc>
        <w:tc>
          <w:tcPr>
            <w:tcW w:w="228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Carne de Segunda</w:t>
            </w:r>
          </w:p>
        </w:tc>
        <w:tc>
          <w:tcPr>
            <w:tcW w:w="141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R$ 39.060,00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7F8" w:rsidRPr="007A6FC2" w:rsidRDefault="002027F8" w:rsidP="009F752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R$ 39.060,00</w:t>
            </w:r>
          </w:p>
        </w:tc>
      </w:tr>
      <w:tr w:rsidR="002027F8" w:rsidRPr="007A6FC2" w:rsidTr="001D28F7">
        <w:trPr>
          <w:trHeight w:val="540"/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Marcia Maria de Oliveira Rodrigues</w:t>
            </w:r>
          </w:p>
        </w:tc>
        <w:tc>
          <w:tcPr>
            <w:tcW w:w="101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Cinema e Vídeo</w:t>
            </w:r>
          </w:p>
        </w:tc>
        <w:tc>
          <w:tcPr>
            <w:tcW w:w="228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Prismah</w:t>
            </w:r>
            <w:proofErr w:type="spellEnd"/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 – um olhar sobre o corpo da voz</w:t>
            </w:r>
          </w:p>
        </w:tc>
        <w:tc>
          <w:tcPr>
            <w:tcW w:w="141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R$ 76.415,00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7F8" w:rsidRPr="007A6FC2" w:rsidRDefault="002027F8" w:rsidP="009F752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R$ 76.415,00</w:t>
            </w:r>
          </w:p>
        </w:tc>
      </w:tr>
      <w:tr w:rsidR="002027F8" w:rsidRPr="007A6FC2" w:rsidTr="001D28F7">
        <w:trPr>
          <w:trHeight w:val="540"/>
          <w:tblCellSpacing w:w="0" w:type="dxa"/>
        </w:trPr>
        <w:tc>
          <w:tcPr>
            <w:tcW w:w="56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André da Silva Barros</w:t>
            </w:r>
          </w:p>
        </w:tc>
        <w:tc>
          <w:tcPr>
            <w:tcW w:w="101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Letras</w:t>
            </w:r>
          </w:p>
        </w:tc>
        <w:tc>
          <w:tcPr>
            <w:tcW w:w="2281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Este Número de Telefone não Existe</w:t>
            </w:r>
          </w:p>
        </w:tc>
        <w:tc>
          <w:tcPr>
            <w:tcW w:w="1417" w:type="dxa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R$ 3.500,00</w:t>
            </w:r>
          </w:p>
        </w:tc>
        <w:tc>
          <w:tcPr>
            <w:tcW w:w="0" w:type="auto"/>
            <w:vAlign w:val="center"/>
            <w:hideMark/>
          </w:tcPr>
          <w:p w:rsidR="002027F8" w:rsidRPr="007A6FC2" w:rsidRDefault="002027F8" w:rsidP="007A6FC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7,25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7F8" w:rsidRPr="007A6FC2" w:rsidRDefault="002027F8" w:rsidP="009F752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7A6FC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R$ 3.500,00</w:t>
            </w:r>
          </w:p>
        </w:tc>
      </w:tr>
    </w:tbl>
    <w:p w:rsidR="007A6FC2" w:rsidRDefault="007A6FC2" w:rsidP="002868F5">
      <w:pPr>
        <w:pStyle w:val="western"/>
        <w:spacing w:before="280" w:after="0" w:line="360" w:lineRule="auto"/>
        <w:ind w:left="-567" w:right="-340"/>
        <w:jc w:val="both"/>
        <w:rPr>
          <w:rFonts w:ascii="Arial" w:hAnsi="Arial" w:cs="Arial"/>
        </w:rPr>
      </w:pPr>
    </w:p>
    <w:p w:rsidR="001D28F7" w:rsidRDefault="001D28F7" w:rsidP="002868F5">
      <w:pPr>
        <w:pStyle w:val="western"/>
        <w:spacing w:before="280" w:after="0" w:line="360" w:lineRule="auto"/>
        <w:ind w:left="-567" w:right="-340"/>
        <w:jc w:val="both"/>
        <w:rPr>
          <w:rFonts w:ascii="Arial" w:hAnsi="Arial" w:cs="Arial"/>
        </w:rPr>
      </w:pPr>
    </w:p>
    <w:tbl>
      <w:tblPr>
        <w:tblW w:w="9555" w:type="dxa"/>
        <w:tblCellSpacing w:w="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127"/>
        <w:gridCol w:w="992"/>
        <w:gridCol w:w="2411"/>
        <w:gridCol w:w="1412"/>
        <w:gridCol w:w="567"/>
        <w:gridCol w:w="1480"/>
      </w:tblGrid>
      <w:tr w:rsidR="001D28F7" w:rsidRPr="001D28F7" w:rsidTr="001D28F7">
        <w:trPr>
          <w:trHeight w:val="450"/>
          <w:tblCellSpacing w:w="0" w:type="dxa"/>
        </w:trPr>
        <w:tc>
          <w:tcPr>
            <w:tcW w:w="9555" w:type="dxa"/>
            <w:gridSpan w:val="7"/>
            <w:shd w:val="clear" w:color="auto" w:fill="8DB4E2"/>
            <w:hideMark/>
          </w:tcPr>
          <w:tbl>
            <w:tblPr>
              <w:tblW w:w="9463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3"/>
            </w:tblGrid>
            <w:tr w:rsidR="001D28F7" w:rsidRPr="007A6FC2" w:rsidTr="001D28F7">
              <w:trPr>
                <w:trHeight w:val="450"/>
                <w:tblCellSpacing w:w="0" w:type="dxa"/>
              </w:trPr>
              <w:tc>
                <w:tcPr>
                  <w:tcW w:w="9463" w:type="dxa"/>
                  <w:shd w:val="clear" w:color="auto" w:fill="8DB4E2"/>
                  <w:vAlign w:val="center"/>
                  <w:hideMark/>
                </w:tcPr>
                <w:p w:rsidR="001D28F7" w:rsidRPr="007A6FC2" w:rsidRDefault="001D28F7" w:rsidP="001D28F7">
                  <w:pPr>
                    <w:suppressAutoHyphens w:val="0"/>
                    <w:spacing w:after="0" w:line="240" w:lineRule="auto"/>
                    <w:jc w:val="center"/>
                    <w:rPr>
                      <w:rFonts w:ascii="Liberation Sans" w:eastAsia="Times New Roman" w:hAnsi="Liberation Sans" w:cs="Times New Roman"/>
                      <w:color w:val="000000"/>
                      <w:sz w:val="32"/>
                      <w:szCs w:val="32"/>
                      <w:lang w:eastAsia="pt-BR"/>
                    </w:rPr>
                  </w:pPr>
                  <w:r w:rsidRPr="00FC3370">
                    <w:rPr>
                      <w:rFonts w:ascii="Liberation Sans" w:eastAsia="Times New Roman" w:hAnsi="Liberation Sans" w:cs="Times New Roman"/>
                      <w:b/>
                      <w:bCs/>
                      <w:color w:val="000000"/>
                      <w:sz w:val="32"/>
                      <w:szCs w:val="32"/>
                      <w:lang w:eastAsia="pt-BR"/>
                    </w:rPr>
                    <w:lastRenderedPageBreak/>
                    <w:t>Pré - Habilitados</w:t>
                  </w:r>
                  <w:r w:rsidRPr="007A6FC2">
                    <w:rPr>
                      <w:rFonts w:ascii="Liberation Sans" w:eastAsia="Times New Roman" w:hAnsi="Liberation Sans" w:cs="Times New Roman"/>
                      <w:b/>
                      <w:bCs/>
                      <w:color w:val="000000"/>
                      <w:sz w:val="32"/>
                      <w:szCs w:val="32"/>
                      <w:lang w:eastAsia="pt-BR"/>
                    </w:rPr>
                    <w:t xml:space="preserve"> – </w:t>
                  </w:r>
                  <w:r>
                    <w:rPr>
                      <w:rFonts w:ascii="Liberation Sans" w:eastAsia="Times New Roman" w:hAnsi="Liberation Sans" w:cs="Times New Roman"/>
                      <w:b/>
                      <w:bCs/>
                      <w:color w:val="000000"/>
                      <w:sz w:val="32"/>
                      <w:szCs w:val="32"/>
                      <w:lang w:eastAsia="pt-BR"/>
                    </w:rPr>
                    <w:t>Primeiros Projetos</w:t>
                  </w:r>
                  <w:r w:rsidRPr="007A6FC2">
                    <w:rPr>
                      <w:rFonts w:ascii="Liberation Sans" w:eastAsia="Times New Roman" w:hAnsi="Liberation Sans" w:cs="Times New Roman"/>
                      <w:b/>
                      <w:bCs/>
                      <w:color w:val="000000"/>
                      <w:sz w:val="32"/>
                      <w:szCs w:val="32"/>
                      <w:lang w:eastAsia="pt-BR"/>
                    </w:rPr>
                    <w:t xml:space="preserve"> - LINC 2015</w:t>
                  </w:r>
                </w:p>
              </w:tc>
            </w:tr>
          </w:tbl>
          <w:p w:rsidR="001D28F7" w:rsidRDefault="001D28F7"/>
        </w:tc>
      </w:tr>
      <w:tr w:rsidR="001D28F7" w:rsidRPr="001D28F7" w:rsidTr="001D28F7">
        <w:trPr>
          <w:trHeight w:val="945"/>
          <w:tblCellSpacing w:w="0" w:type="dxa"/>
        </w:trPr>
        <w:tc>
          <w:tcPr>
            <w:tcW w:w="566" w:type="dxa"/>
            <w:shd w:val="clear" w:color="auto" w:fill="DBEEF4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Nº </w:t>
            </w:r>
          </w:p>
        </w:tc>
        <w:tc>
          <w:tcPr>
            <w:tcW w:w="2127" w:type="dxa"/>
            <w:shd w:val="clear" w:color="auto" w:fill="DBEEF4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t-BR"/>
              </w:rPr>
              <w:t>Proponente</w:t>
            </w:r>
          </w:p>
        </w:tc>
        <w:tc>
          <w:tcPr>
            <w:tcW w:w="992" w:type="dxa"/>
            <w:shd w:val="clear" w:color="auto" w:fill="DBEEF4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t-BR"/>
              </w:rPr>
              <w:t>Área</w:t>
            </w:r>
          </w:p>
        </w:tc>
        <w:tc>
          <w:tcPr>
            <w:tcW w:w="2411" w:type="dxa"/>
            <w:shd w:val="clear" w:color="auto" w:fill="DBEEF4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Projeto</w:t>
            </w:r>
          </w:p>
        </w:tc>
        <w:tc>
          <w:tcPr>
            <w:tcW w:w="1412" w:type="dxa"/>
            <w:shd w:val="clear" w:color="auto" w:fill="DBEEF4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Solicitado</w:t>
            </w:r>
          </w:p>
        </w:tc>
        <w:tc>
          <w:tcPr>
            <w:tcW w:w="567" w:type="dxa"/>
            <w:shd w:val="clear" w:color="auto" w:fill="DBEEF4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Nota </w:t>
            </w:r>
          </w:p>
        </w:tc>
        <w:tc>
          <w:tcPr>
            <w:tcW w:w="1480" w:type="dxa"/>
            <w:shd w:val="clear" w:color="auto" w:fill="DBEEF4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Aprovado</w:t>
            </w:r>
            <w:r w:rsidRPr="001D28F7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D28F7" w:rsidRPr="001D28F7" w:rsidTr="001D28F7">
        <w:trPr>
          <w:trHeight w:val="540"/>
          <w:tblCellSpacing w:w="0" w:type="dxa"/>
        </w:trPr>
        <w:tc>
          <w:tcPr>
            <w:tcW w:w="566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2127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Bruno Vieira </w:t>
            </w:r>
            <w:proofErr w:type="spellStart"/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Lottelli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Cinema e Vídeo</w:t>
            </w:r>
          </w:p>
        </w:tc>
        <w:tc>
          <w:tcPr>
            <w:tcW w:w="2411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Noite do Beijo – Ontem e Hoje</w:t>
            </w:r>
          </w:p>
        </w:tc>
        <w:tc>
          <w:tcPr>
            <w:tcW w:w="1412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R$ 31.370,00</w:t>
            </w:r>
          </w:p>
        </w:tc>
        <w:tc>
          <w:tcPr>
            <w:tcW w:w="567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480" w:type="dxa"/>
            <w:vAlign w:val="center"/>
            <w:hideMark/>
          </w:tcPr>
          <w:p w:rsidR="001D28F7" w:rsidRPr="001D28F7" w:rsidRDefault="001D28F7" w:rsidP="009F752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R$ 31.370,00</w:t>
            </w:r>
          </w:p>
        </w:tc>
      </w:tr>
      <w:tr w:rsidR="001D28F7" w:rsidRPr="001D28F7" w:rsidTr="001D28F7">
        <w:trPr>
          <w:trHeight w:val="540"/>
          <w:tblCellSpacing w:w="0" w:type="dxa"/>
        </w:trPr>
        <w:tc>
          <w:tcPr>
            <w:tcW w:w="566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2127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Dener Wesley Mota</w:t>
            </w:r>
          </w:p>
        </w:tc>
        <w:tc>
          <w:tcPr>
            <w:tcW w:w="992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Artes Cênicas</w:t>
            </w:r>
          </w:p>
        </w:tc>
        <w:tc>
          <w:tcPr>
            <w:tcW w:w="2411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Taturemas</w:t>
            </w:r>
            <w:proofErr w:type="spellEnd"/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 em Processo</w:t>
            </w:r>
          </w:p>
        </w:tc>
        <w:tc>
          <w:tcPr>
            <w:tcW w:w="1412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R$ 40.070,00</w:t>
            </w:r>
          </w:p>
        </w:tc>
        <w:tc>
          <w:tcPr>
            <w:tcW w:w="567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9,25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D28F7" w:rsidRPr="001D28F7" w:rsidRDefault="001D28F7" w:rsidP="009F752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R$ 40.070,00</w:t>
            </w:r>
          </w:p>
        </w:tc>
      </w:tr>
      <w:tr w:rsidR="001D28F7" w:rsidRPr="001D28F7" w:rsidTr="001D28F7">
        <w:trPr>
          <w:trHeight w:val="540"/>
          <w:tblCellSpacing w:w="0" w:type="dxa"/>
        </w:trPr>
        <w:tc>
          <w:tcPr>
            <w:tcW w:w="566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2127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Camilo Macedo de Oliveira</w:t>
            </w:r>
          </w:p>
        </w:tc>
        <w:tc>
          <w:tcPr>
            <w:tcW w:w="992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Música</w:t>
            </w:r>
          </w:p>
        </w:tc>
        <w:tc>
          <w:tcPr>
            <w:tcW w:w="2411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Trio Curupira – 20 anos</w:t>
            </w:r>
          </w:p>
        </w:tc>
        <w:tc>
          <w:tcPr>
            <w:tcW w:w="1412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R$ 45.200,00</w:t>
            </w:r>
          </w:p>
        </w:tc>
        <w:tc>
          <w:tcPr>
            <w:tcW w:w="567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D28F7" w:rsidRPr="001D28F7" w:rsidRDefault="001D28F7" w:rsidP="009F752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R$ 45.200,00</w:t>
            </w:r>
          </w:p>
        </w:tc>
      </w:tr>
      <w:tr w:rsidR="001D28F7" w:rsidRPr="001D28F7" w:rsidTr="001D28F7">
        <w:trPr>
          <w:trHeight w:val="540"/>
          <w:tblCellSpacing w:w="0" w:type="dxa"/>
        </w:trPr>
        <w:tc>
          <w:tcPr>
            <w:tcW w:w="566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2127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Vinícius Vieira Tomasi</w:t>
            </w:r>
          </w:p>
        </w:tc>
        <w:tc>
          <w:tcPr>
            <w:tcW w:w="992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Cinema e Vídeo</w:t>
            </w:r>
          </w:p>
        </w:tc>
        <w:tc>
          <w:tcPr>
            <w:tcW w:w="2411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Documentário </w:t>
            </w:r>
            <w:proofErr w:type="spellStart"/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Valhalla</w:t>
            </w:r>
            <w:proofErr w:type="spellEnd"/>
          </w:p>
        </w:tc>
        <w:tc>
          <w:tcPr>
            <w:tcW w:w="1412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R$ 34.115,00</w:t>
            </w:r>
          </w:p>
        </w:tc>
        <w:tc>
          <w:tcPr>
            <w:tcW w:w="567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D28F7" w:rsidRPr="001D28F7" w:rsidRDefault="001D28F7" w:rsidP="009F752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R$ 34.115,00</w:t>
            </w:r>
          </w:p>
        </w:tc>
      </w:tr>
      <w:tr w:rsidR="001D28F7" w:rsidRPr="001D28F7" w:rsidTr="001D28F7">
        <w:trPr>
          <w:trHeight w:val="540"/>
          <w:tblCellSpacing w:w="0" w:type="dxa"/>
        </w:trPr>
        <w:tc>
          <w:tcPr>
            <w:tcW w:w="566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2127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João Batista Alvarenga</w:t>
            </w:r>
          </w:p>
        </w:tc>
        <w:tc>
          <w:tcPr>
            <w:tcW w:w="992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Letras</w:t>
            </w:r>
          </w:p>
        </w:tc>
        <w:tc>
          <w:tcPr>
            <w:tcW w:w="2411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Nó na Língua - Pra brincar de poesia</w:t>
            </w:r>
          </w:p>
        </w:tc>
        <w:tc>
          <w:tcPr>
            <w:tcW w:w="1412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R$ 3.500,00</w:t>
            </w:r>
          </w:p>
        </w:tc>
        <w:tc>
          <w:tcPr>
            <w:tcW w:w="567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7,75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D28F7" w:rsidRPr="001D28F7" w:rsidRDefault="001D28F7" w:rsidP="009F752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R$ 3.500,00</w:t>
            </w:r>
          </w:p>
        </w:tc>
      </w:tr>
      <w:tr w:rsidR="001D28F7" w:rsidRPr="001D28F7" w:rsidTr="001D28F7">
        <w:trPr>
          <w:trHeight w:val="795"/>
          <w:tblCellSpacing w:w="0" w:type="dxa"/>
        </w:trPr>
        <w:tc>
          <w:tcPr>
            <w:tcW w:w="566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2127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Otto </w:t>
            </w:r>
            <w:proofErr w:type="spellStart"/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Wey</w:t>
            </w:r>
            <w:proofErr w:type="spellEnd"/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 xml:space="preserve"> Netto</w:t>
            </w:r>
          </w:p>
        </w:tc>
        <w:tc>
          <w:tcPr>
            <w:tcW w:w="992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Letras</w:t>
            </w:r>
          </w:p>
        </w:tc>
        <w:tc>
          <w:tcPr>
            <w:tcW w:w="2411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Os homens que fizeram a nossa história</w:t>
            </w:r>
          </w:p>
        </w:tc>
        <w:tc>
          <w:tcPr>
            <w:tcW w:w="1412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R$ 31.653,60</w:t>
            </w:r>
          </w:p>
        </w:tc>
        <w:tc>
          <w:tcPr>
            <w:tcW w:w="567" w:type="dxa"/>
            <w:vAlign w:val="center"/>
            <w:hideMark/>
          </w:tcPr>
          <w:p w:rsidR="001D28F7" w:rsidRPr="001D28F7" w:rsidRDefault="001D28F7" w:rsidP="001D28F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1D28F7" w:rsidRPr="001D28F7" w:rsidRDefault="001D28F7" w:rsidP="009F752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</w:pPr>
            <w:r w:rsidRPr="001D28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t-BR"/>
              </w:rPr>
              <w:t>R$ 31.653,60</w:t>
            </w:r>
          </w:p>
        </w:tc>
      </w:tr>
    </w:tbl>
    <w:p w:rsidR="0014250C" w:rsidRDefault="0014250C" w:rsidP="0014250C">
      <w:pPr>
        <w:pStyle w:val="western"/>
        <w:spacing w:after="0" w:line="360" w:lineRule="auto"/>
        <w:ind w:left="-567" w:right="-340"/>
        <w:jc w:val="both"/>
        <w:rPr>
          <w:rFonts w:ascii="Arial" w:hAnsi="Arial" w:cs="Arial"/>
        </w:rPr>
      </w:pPr>
    </w:p>
    <w:p w:rsidR="0014250C" w:rsidRDefault="00D72BB0" w:rsidP="0014250C">
      <w:pPr>
        <w:pStyle w:val="western"/>
        <w:spacing w:after="0" w:line="360" w:lineRule="auto"/>
        <w:ind w:left="-567"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Todos os proponentes pré-habilitados deverão seguir, obrigatoriamente, t</w:t>
      </w:r>
      <w:r w:rsidR="0058422C">
        <w:rPr>
          <w:rFonts w:ascii="Arial" w:hAnsi="Arial" w:cs="Arial"/>
        </w:rPr>
        <w:t xml:space="preserve">odas as informações descritas </w:t>
      </w:r>
      <w:r w:rsidR="001B3986">
        <w:rPr>
          <w:rFonts w:ascii="Arial" w:hAnsi="Arial" w:cs="Arial"/>
        </w:rPr>
        <w:t>n</w:t>
      </w:r>
      <w:r w:rsidR="0058422C">
        <w:rPr>
          <w:rFonts w:ascii="Arial" w:hAnsi="Arial" w:cs="Arial"/>
        </w:rPr>
        <w:t>a Lei 11.066/2015, Decreto e</w:t>
      </w:r>
      <w:r>
        <w:rPr>
          <w:rFonts w:ascii="Arial" w:hAnsi="Arial" w:cs="Arial"/>
        </w:rPr>
        <w:t xml:space="preserve"> Edital 09/2015, em seus artigos</w:t>
      </w:r>
      <w:r w:rsidR="0014250C">
        <w:rPr>
          <w:rFonts w:ascii="Arial" w:hAnsi="Arial" w:cs="Arial"/>
        </w:rPr>
        <w:t>:</w:t>
      </w:r>
    </w:p>
    <w:p w:rsidR="0058422C" w:rsidRDefault="0058422C" w:rsidP="0014250C">
      <w:pPr>
        <w:pStyle w:val="western"/>
        <w:spacing w:after="0" w:line="360" w:lineRule="auto"/>
        <w:ind w:left="-567" w:right="-340"/>
        <w:jc w:val="both"/>
        <w:rPr>
          <w:rFonts w:ascii="Arial" w:hAnsi="Arial" w:cs="Arial"/>
        </w:rPr>
      </w:pPr>
    </w:p>
    <w:p w:rsidR="0058422C" w:rsidRPr="0058422C" w:rsidRDefault="0058422C" w:rsidP="0058422C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-567" w:right="-568"/>
        <w:jc w:val="both"/>
        <w:rPr>
          <w:rFonts w:ascii="Arial" w:eastAsiaTheme="minorHAnsi" w:hAnsi="Arial" w:cs="Arial"/>
          <w:color w:val="auto"/>
          <w:kern w:val="1"/>
          <w:sz w:val="24"/>
          <w:szCs w:val="24"/>
        </w:rPr>
      </w:pPr>
      <w:r>
        <w:rPr>
          <w:rFonts w:ascii="Arial" w:eastAsiaTheme="minorHAnsi" w:hAnsi="Arial" w:cs="Arial"/>
          <w:color w:val="auto"/>
          <w:kern w:val="1"/>
          <w:sz w:val="24"/>
          <w:szCs w:val="24"/>
        </w:rPr>
        <w:t>3.4. Os peritos avaliadores</w:t>
      </w:r>
      <w:r w:rsidRPr="0058422C">
        <w:rPr>
          <w:rFonts w:ascii="Arial" w:eastAsiaTheme="minorHAnsi" w:hAnsi="Arial" w:cs="Arial"/>
          <w:color w:val="auto"/>
          <w:kern w:val="1"/>
          <w:sz w:val="24"/>
          <w:szCs w:val="24"/>
        </w:rPr>
        <w:t xml:space="preserve"> poderão destinar ao projeto valor inferior ao solicitado, desde que a redução não seja superior a 20% (vinte por cento) do total do seu valor.</w:t>
      </w:r>
    </w:p>
    <w:p w:rsidR="0058422C" w:rsidRPr="0058422C" w:rsidRDefault="0058422C" w:rsidP="0058422C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-567" w:right="-568"/>
        <w:jc w:val="both"/>
        <w:rPr>
          <w:rFonts w:ascii="Arial" w:eastAsiaTheme="minorHAnsi" w:hAnsi="Arial" w:cs="Arial"/>
          <w:color w:val="auto"/>
          <w:kern w:val="1"/>
          <w:sz w:val="32"/>
          <w:szCs w:val="32"/>
        </w:rPr>
      </w:pPr>
      <w:r w:rsidRPr="0058422C">
        <w:rPr>
          <w:rFonts w:ascii="Arial" w:eastAsiaTheme="minorHAnsi" w:hAnsi="Arial" w:cs="Arial"/>
          <w:bCs/>
          <w:color w:val="auto"/>
          <w:kern w:val="1"/>
          <w:sz w:val="24"/>
          <w:szCs w:val="24"/>
        </w:rPr>
        <w:t>3.4.2. O proponente poderá aceitar ou não a redução financeira, e, havendo recusa, a verba será destinada a outros projetos</w:t>
      </w:r>
      <w:r>
        <w:rPr>
          <w:rFonts w:ascii="Arial" w:eastAsiaTheme="minorHAnsi" w:hAnsi="Arial" w:cs="Arial"/>
          <w:bCs/>
          <w:color w:val="auto"/>
          <w:kern w:val="1"/>
          <w:sz w:val="32"/>
          <w:szCs w:val="32"/>
        </w:rPr>
        <w:t>.</w:t>
      </w:r>
    </w:p>
    <w:p w:rsid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/>
        <w:rPr>
          <w:rFonts w:ascii="Arial-BoldMT" w:eastAsiaTheme="minorHAnsi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</w:rPr>
        <w:t>5. Da Habilitação Documental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 xml:space="preserve">5.1. O(s) proponente(s) selecionado(s) nas fases anteriores, cuja classificação </w:t>
      </w:r>
      <w:proofErr w:type="gramStart"/>
      <w:r w:rsidRPr="00A06DA7">
        <w:rPr>
          <w:rFonts w:ascii="Arial" w:eastAsia="ArialMT" w:hAnsi="Arial" w:cs="Arial"/>
          <w:color w:val="000000"/>
          <w:sz w:val="24"/>
          <w:szCs w:val="24"/>
        </w:rPr>
        <w:t>permita</w:t>
      </w:r>
      <w:proofErr w:type="gramEnd"/>
    </w:p>
    <w:p w:rsid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proofErr w:type="gramStart"/>
      <w:r w:rsidRPr="00A06DA7">
        <w:rPr>
          <w:rFonts w:ascii="Arial" w:eastAsia="ArialMT" w:hAnsi="Arial" w:cs="Arial"/>
          <w:color w:val="000000"/>
          <w:sz w:val="24"/>
          <w:szCs w:val="24"/>
        </w:rPr>
        <w:t>contemplação</w:t>
      </w:r>
      <w:proofErr w:type="gramEnd"/>
      <w:r w:rsidRPr="00A06DA7">
        <w:rPr>
          <w:rFonts w:ascii="Arial" w:eastAsia="ArialMT" w:hAnsi="Arial" w:cs="Arial"/>
          <w:color w:val="000000"/>
          <w:sz w:val="24"/>
          <w:szCs w:val="24"/>
        </w:rPr>
        <w:t xml:space="preserve"> de acordo com a disponibilidade financeira, serão notificados a entregar, no prazo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>de ate 20 (vinte) dias, copia dos documentos necessários a sua habilitação, em conformidade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>com o previsto nos atos de regulamentação da Lei n</w:t>
      </w:r>
      <w:r>
        <w:rPr>
          <w:rFonts w:ascii="Arial" w:eastAsia="ArialMT" w:hAnsi="Arial" w:cs="Arial"/>
          <w:color w:val="000000"/>
          <w:sz w:val="24"/>
          <w:szCs w:val="24"/>
        </w:rPr>
        <w:t>º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 xml:space="preserve"> 11.066 de 16 de marco de 2015, as quais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>serão conferidas com os originais, a saber: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>I - se pessoa física: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 xml:space="preserve">a) </w:t>
      </w:r>
      <w:proofErr w:type="gramStart"/>
      <w:r w:rsidRPr="00A06DA7">
        <w:rPr>
          <w:rFonts w:ascii="Arial" w:eastAsia="ArialMT" w:hAnsi="Arial" w:cs="Arial"/>
          <w:color w:val="000000"/>
          <w:sz w:val="24"/>
          <w:szCs w:val="24"/>
        </w:rPr>
        <w:t>copias autenticadas</w:t>
      </w:r>
      <w:proofErr w:type="gramEnd"/>
      <w:r w:rsidRPr="00A06DA7">
        <w:rPr>
          <w:rFonts w:ascii="Arial" w:eastAsia="ArialMT" w:hAnsi="Arial" w:cs="Arial"/>
          <w:color w:val="000000"/>
          <w:sz w:val="24"/>
          <w:szCs w:val="24"/>
        </w:rPr>
        <w:t xml:space="preserve"> da cédula de identidade, do CPF, do titulo de eleitor, e de comprovante de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>domicilio eleitoral no Município de Sorocaba por, no mínimo 02 (dois) anos;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 xml:space="preserve">b) certidões negativas, referentes aos últimos 05 (cinco) anos, emitidas pelos </w:t>
      </w:r>
      <w:proofErr w:type="gramStart"/>
      <w:r w:rsidRPr="00A06DA7">
        <w:rPr>
          <w:rFonts w:ascii="Arial" w:eastAsia="ArialMT" w:hAnsi="Arial" w:cs="Arial"/>
          <w:color w:val="000000"/>
          <w:sz w:val="24"/>
          <w:szCs w:val="24"/>
        </w:rPr>
        <w:t>Cartórios</w:t>
      </w:r>
      <w:proofErr w:type="gramEnd"/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>Distribuidores Cível, Criminal e de Protesto (Títulos e Documentos);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lastRenderedPageBreak/>
        <w:t xml:space="preserve">c) certidão negativa de débitos fiscais do Município de Sorocaba; </w:t>
      </w:r>
      <w:proofErr w:type="gramStart"/>
      <w:r w:rsidRPr="00A06DA7">
        <w:rPr>
          <w:rFonts w:ascii="Arial" w:eastAsia="ArialMT" w:hAnsi="Arial" w:cs="Arial"/>
          <w:color w:val="000000"/>
          <w:sz w:val="24"/>
          <w:szCs w:val="24"/>
        </w:rPr>
        <w:t>e</w:t>
      </w:r>
      <w:proofErr w:type="gramEnd"/>
    </w:p>
    <w:p w:rsid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>d) currículo profissional e/ou artístico.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bookmarkStart w:id="1" w:name="_GoBack"/>
      <w:bookmarkEnd w:id="1"/>
      <w:r w:rsidRPr="00A06DA7">
        <w:rPr>
          <w:rFonts w:ascii="Arial" w:eastAsia="ArialMT" w:hAnsi="Arial" w:cs="Arial"/>
          <w:color w:val="000000"/>
          <w:sz w:val="24"/>
          <w:szCs w:val="24"/>
        </w:rPr>
        <w:t>II - se pessoa jurídica: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>a) copia autenticada do instrumento constitutivo da pessoa jurídica, contrato ou estatuto social,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>devidamente registrado, bem como da ultima alteração social;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>b) copia da ata de eleição da diretoria em exercício;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>c) copia do certificado de Inscrição no CNPJ;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>d) copia do certificado de Inscrição Municipal;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>e) currículo da empresa ou instituição;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>f) certidões negativas de débitos ou de inadimplência perante a Prefeitura Municipal de Sorocaba,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>INSS e FGTS;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>g) prova de que a empresa ou instituição esta em atividade ha mais de 04 (quatro) anos, no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 xml:space="preserve">Município de Sorocaba; </w:t>
      </w:r>
      <w:proofErr w:type="gramStart"/>
      <w:r w:rsidRPr="00A06DA7">
        <w:rPr>
          <w:rFonts w:ascii="Arial" w:eastAsia="ArialMT" w:hAnsi="Arial" w:cs="Arial"/>
          <w:color w:val="000000"/>
          <w:sz w:val="24"/>
          <w:szCs w:val="24"/>
        </w:rPr>
        <w:t>e</w:t>
      </w:r>
      <w:proofErr w:type="gramEnd"/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>h) certidões negativas de protestos emitidas pelos Cartórios de Títulos e Documentos.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>5.1.1. As certidões e atestados apresentados na fase de habilitação serão aceitos desde que 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>data de sua expedição não ultrapasse 60 (sessenta) dias.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>5.2. Se, na fase de habilitação documental, o projeto cultural for desclassificado por</w:t>
      </w:r>
      <w:r w:rsidR="006B7E54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>descumprimento das exigências ou formalidades previstas neste edital, os recursos financeiros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>serão reservados ao projeto cultural subsequente da lista de classificação, cujo custo de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>realização seja igual ou inferior aos valores financeiros então disponibilizados.</w:t>
      </w:r>
    </w:p>
    <w:p w:rsid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>5.2.1. O autor do projeto cultural subsequente da lista de classificação será notificado para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>entregar, no prazo de ate 20 (vinte) dias, copia dos documentos necessários a sua habilitação,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 xml:space="preserve">conforme o item </w:t>
      </w:r>
      <w:proofErr w:type="gramStart"/>
      <w:r w:rsidRPr="00A06DA7">
        <w:rPr>
          <w:rFonts w:ascii="Arial" w:eastAsia="ArialMT" w:hAnsi="Arial" w:cs="Arial"/>
          <w:color w:val="000000"/>
          <w:sz w:val="24"/>
          <w:szCs w:val="24"/>
        </w:rPr>
        <w:t>5</w:t>
      </w:r>
      <w:proofErr w:type="gramEnd"/>
      <w:r w:rsidRPr="00A06DA7">
        <w:rPr>
          <w:rFonts w:ascii="Arial" w:eastAsia="ArialMT" w:hAnsi="Arial" w:cs="Arial"/>
          <w:color w:val="000000"/>
          <w:sz w:val="24"/>
          <w:szCs w:val="24"/>
        </w:rPr>
        <w:t xml:space="preserve"> deste edital.</w:t>
      </w:r>
    </w:p>
    <w:p w:rsidR="001B3986" w:rsidRDefault="001B3986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A06DA7">
        <w:rPr>
          <w:rFonts w:ascii="Arial" w:eastAsiaTheme="minorHAnsi" w:hAnsi="Arial" w:cs="Arial"/>
          <w:b/>
          <w:bCs/>
          <w:color w:val="000000"/>
          <w:sz w:val="24"/>
          <w:szCs w:val="24"/>
        </w:rPr>
        <w:t>6. Dos Recursos Financeiros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>6.1. As verbas destinadas aos projetos habilitados serão depositadas em conta corrente</w:t>
      </w:r>
      <w:r w:rsidR="006B7E54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MT" w:hAnsi="Arial" w:cs="Arial"/>
          <w:color w:val="000000"/>
          <w:sz w:val="24"/>
          <w:szCs w:val="24"/>
        </w:rPr>
        <w:t>e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>specifica,</w:t>
      </w:r>
      <w:proofErr w:type="gramEnd"/>
      <w:r w:rsidRPr="00A06DA7">
        <w:rPr>
          <w:rFonts w:ascii="Arial" w:eastAsia="ArialMT" w:hAnsi="Arial" w:cs="Arial"/>
          <w:color w:val="000000"/>
          <w:sz w:val="24"/>
          <w:szCs w:val="24"/>
        </w:rPr>
        <w:t xml:space="preserve"> aberta em nome do proponente, seja pessoa física ou jurídica.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>6.1.1.</w:t>
      </w:r>
      <w:r w:rsidR="006B7E54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6B7E54" w:rsidRPr="00A06DA7">
        <w:rPr>
          <w:rFonts w:ascii="Arial" w:eastAsia="ArialMT" w:hAnsi="Arial" w:cs="Arial"/>
          <w:color w:val="000000"/>
          <w:sz w:val="24"/>
          <w:szCs w:val="24"/>
        </w:rPr>
        <w:t>Não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 xml:space="preserve"> serão efetuados depósitos em conta poupança ou conta conjunta.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 xml:space="preserve">6.1.2. Não </w:t>
      </w:r>
      <w:proofErr w:type="gramStart"/>
      <w:r w:rsidRPr="00A06DA7">
        <w:rPr>
          <w:rFonts w:ascii="Arial" w:eastAsia="ArialMT" w:hAnsi="Arial" w:cs="Arial"/>
          <w:color w:val="000000"/>
          <w:sz w:val="24"/>
          <w:szCs w:val="24"/>
        </w:rPr>
        <w:t>serão</w:t>
      </w:r>
      <w:proofErr w:type="gramEnd"/>
      <w:r w:rsidRPr="00A06DA7">
        <w:rPr>
          <w:rFonts w:ascii="Arial" w:eastAsia="ArialMT" w:hAnsi="Arial" w:cs="Arial"/>
          <w:color w:val="000000"/>
          <w:sz w:val="24"/>
          <w:szCs w:val="24"/>
        </w:rPr>
        <w:t xml:space="preserve"> permitidas qualquer movimentação financeira em fundos de investimento ou</w:t>
      </w:r>
      <w:r w:rsidR="006B7E54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>rendimento. Caso ocorra, será obrigatória a devolução de todo e qualquer montante aos cofres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>públicos, corrigidos.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>6.2 Os projetos culturais contemplados deverão ser finalizados e ter as suas respectivas verbas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>utilizadas no período de ate 12 (doze) meses, a partir da assinatura do contrato.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lastRenderedPageBreak/>
        <w:t>6.3. Os recursos serão liberados nas seguintes condições: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>I) Em uma única parcela, em ate 30 (trinta) dias apos a assinatura do Termo de Compromisso;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sz w:val="24"/>
          <w:szCs w:val="24"/>
        </w:rPr>
      </w:pPr>
      <w:r w:rsidRPr="00A06DA7">
        <w:rPr>
          <w:rFonts w:ascii="Arial" w:eastAsia="ArialMT" w:hAnsi="Arial" w:cs="Arial"/>
          <w:sz w:val="24"/>
          <w:szCs w:val="24"/>
        </w:rPr>
        <w:t>6.4. A utilização dos recursos devera ser efetuada mediante a compensação de cheques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sz w:val="24"/>
          <w:szCs w:val="24"/>
        </w:rPr>
      </w:pPr>
      <w:proofErr w:type="gramStart"/>
      <w:r w:rsidRPr="00A06DA7">
        <w:rPr>
          <w:rFonts w:ascii="Arial" w:eastAsia="ArialMT" w:hAnsi="Arial" w:cs="Arial"/>
          <w:sz w:val="24"/>
          <w:szCs w:val="24"/>
        </w:rPr>
        <w:t>nominais</w:t>
      </w:r>
      <w:proofErr w:type="gramEnd"/>
      <w:r w:rsidRPr="00A06DA7">
        <w:rPr>
          <w:rFonts w:ascii="Arial" w:eastAsia="ArialMT" w:hAnsi="Arial" w:cs="Arial"/>
          <w:sz w:val="24"/>
          <w:szCs w:val="24"/>
        </w:rPr>
        <w:t xml:space="preserve"> cruzados ao beneficiário ou por transações eletrônicas identificadas, sendo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sz w:val="24"/>
          <w:szCs w:val="24"/>
        </w:rPr>
      </w:pPr>
      <w:proofErr w:type="gramStart"/>
      <w:r w:rsidRPr="00A06DA7">
        <w:rPr>
          <w:rFonts w:ascii="Arial" w:eastAsia="ArialMT" w:hAnsi="Arial" w:cs="Arial"/>
          <w:sz w:val="24"/>
          <w:szCs w:val="24"/>
        </w:rPr>
        <w:t>terminantemente</w:t>
      </w:r>
      <w:proofErr w:type="gramEnd"/>
      <w:r w:rsidRPr="00A06DA7">
        <w:rPr>
          <w:rFonts w:ascii="Arial" w:eastAsia="ArialMT" w:hAnsi="Arial" w:cs="Arial"/>
          <w:sz w:val="24"/>
          <w:szCs w:val="24"/>
        </w:rPr>
        <w:t xml:space="preserve"> proibida a realização de qualquer tipo de saque.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>6.5. No valor do incentivo deverão estar incluídos todos os custos diretos e indiretos do projeto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>contemplado, sua administração, encargos fiscais, sociais, previdenciários, assim como as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>despesas relativas aos direitos autorais, caso seja necessário, não sendo devido pela Secretaria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>da Cultura mais nenhum valor, sob nenhuma hipótese, seja a que titulo for.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 xml:space="preserve">6.6. O(s) </w:t>
      </w:r>
      <w:proofErr w:type="gramStart"/>
      <w:r w:rsidRPr="00A06DA7">
        <w:rPr>
          <w:rFonts w:ascii="Arial" w:eastAsia="ArialMT" w:hAnsi="Arial" w:cs="Arial"/>
          <w:color w:val="000000"/>
          <w:sz w:val="24"/>
          <w:szCs w:val="24"/>
        </w:rPr>
        <w:t>proponente(</w:t>
      </w:r>
      <w:proofErr w:type="gramEnd"/>
      <w:r w:rsidRPr="00A06DA7">
        <w:rPr>
          <w:rFonts w:ascii="Arial" w:eastAsia="ArialMT" w:hAnsi="Arial" w:cs="Arial"/>
          <w:color w:val="000000"/>
          <w:sz w:val="24"/>
          <w:szCs w:val="24"/>
        </w:rPr>
        <w:t>es) devera(ao), obrigatoriamente, optar pelo orçamento de menor valor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color w:val="000000"/>
          <w:sz w:val="24"/>
          <w:szCs w:val="24"/>
        </w:rPr>
        <w:t>entre os apresentados no projeto.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A06DA7">
        <w:rPr>
          <w:rFonts w:ascii="Arial" w:eastAsia="ArialMT" w:hAnsi="Arial" w:cs="Arial"/>
          <w:color w:val="000000"/>
          <w:sz w:val="24"/>
          <w:szCs w:val="24"/>
        </w:rPr>
        <w:t>6.7. Não serão aceitas despesas não previstas no projeto original e incompatíveis com a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color w:val="000000"/>
          <w:sz w:val="24"/>
          <w:szCs w:val="24"/>
        </w:rPr>
      </w:pPr>
      <w:proofErr w:type="gramStart"/>
      <w:r w:rsidRPr="00A06DA7">
        <w:rPr>
          <w:rFonts w:ascii="Arial" w:eastAsia="ArialMT" w:hAnsi="Arial" w:cs="Arial"/>
          <w:color w:val="000000"/>
          <w:sz w:val="24"/>
          <w:szCs w:val="24"/>
        </w:rPr>
        <w:t>legislação</w:t>
      </w:r>
      <w:proofErr w:type="gramEnd"/>
      <w:r w:rsidRPr="00A06DA7">
        <w:rPr>
          <w:rFonts w:ascii="Arial" w:eastAsia="ArialMT" w:hAnsi="Arial" w:cs="Arial"/>
          <w:color w:val="000000"/>
          <w:sz w:val="24"/>
          <w:szCs w:val="24"/>
        </w:rPr>
        <w:t xml:space="preserve"> vigente, tais como:</w:t>
      </w:r>
    </w:p>
    <w:p w:rsidR="00A06DA7" w:rsidRPr="00A06DA7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sz w:val="24"/>
          <w:szCs w:val="24"/>
        </w:rPr>
      </w:pPr>
      <w:r w:rsidRPr="00A06DA7">
        <w:rPr>
          <w:rFonts w:ascii="Arial" w:eastAsia="ArialMT" w:hAnsi="Arial" w:cs="Arial"/>
          <w:sz w:val="24"/>
          <w:szCs w:val="24"/>
        </w:rPr>
        <w:t>I - aquisição, construção, reforma ou ampliação de imóveis, de equipamentos permanentes ou</w:t>
      </w:r>
      <w:r>
        <w:rPr>
          <w:rFonts w:ascii="Arial" w:eastAsia="ArialMT" w:hAnsi="Arial" w:cs="Arial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sz w:val="24"/>
          <w:szCs w:val="24"/>
        </w:rPr>
        <w:t>acréscimo de patrimônio.</w:t>
      </w:r>
    </w:p>
    <w:p w:rsidR="00D72BB0" w:rsidRDefault="00A06DA7" w:rsidP="00A06DA7">
      <w:pPr>
        <w:suppressAutoHyphens w:val="0"/>
        <w:autoSpaceDE w:val="0"/>
        <w:autoSpaceDN w:val="0"/>
        <w:adjustRightInd w:val="0"/>
        <w:spacing w:after="0" w:line="360" w:lineRule="auto"/>
        <w:ind w:left="-426" w:right="-568"/>
        <w:jc w:val="both"/>
        <w:rPr>
          <w:rFonts w:ascii="Arial" w:eastAsia="ArialMT" w:hAnsi="Arial" w:cs="Arial"/>
          <w:sz w:val="24"/>
          <w:szCs w:val="24"/>
        </w:rPr>
      </w:pPr>
      <w:r w:rsidRPr="00A06DA7">
        <w:rPr>
          <w:rFonts w:ascii="Arial" w:eastAsia="ArialMT" w:hAnsi="Arial" w:cs="Arial"/>
          <w:sz w:val="24"/>
          <w:szCs w:val="24"/>
        </w:rPr>
        <w:t>II - compra e/ou contratação de serviços, produtos, equipamentos ou imóveis que pertençam ao</w:t>
      </w:r>
      <w:r>
        <w:rPr>
          <w:rFonts w:ascii="Arial" w:eastAsia="ArialMT" w:hAnsi="Arial" w:cs="Arial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sz w:val="24"/>
          <w:szCs w:val="24"/>
        </w:rPr>
        <w:t>proponente, a seus sócios ou a pessoas com as quais tenha qualquer relação de parentesco ou</w:t>
      </w:r>
      <w:r>
        <w:rPr>
          <w:rFonts w:ascii="Arial" w:eastAsia="ArialMT" w:hAnsi="Arial" w:cs="Arial"/>
          <w:sz w:val="24"/>
          <w:szCs w:val="24"/>
        </w:rPr>
        <w:t xml:space="preserve"> </w:t>
      </w:r>
      <w:r w:rsidRPr="00A06DA7">
        <w:rPr>
          <w:rFonts w:ascii="Arial" w:eastAsia="ArialMT" w:hAnsi="Arial" w:cs="Arial"/>
          <w:sz w:val="24"/>
          <w:szCs w:val="24"/>
        </w:rPr>
        <w:t>afinidade.</w:t>
      </w:r>
    </w:p>
    <w:p w:rsidR="00D72BB0" w:rsidRPr="0014250C" w:rsidRDefault="006B7E54" w:rsidP="00A06DA7">
      <w:pPr>
        <w:pStyle w:val="western"/>
        <w:spacing w:after="113" w:line="360" w:lineRule="auto"/>
        <w:ind w:left="-426" w:right="-285"/>
        <w:jc w:val="both"/>
      </w:pPr>
      <w:r>
        <w:rPr>
          <w:rFonts w:ascii="Arial" w:hAnsi="Arial" w:cs="Arial"/>
          <w:color w:val="000000"/>
        </w:rPr>
        <w:t>Portanto</w:t>
      </w:r>
      <w:r w:rsidR="00D72BB0">
        <w:rPr>
          <w:rFonts w:ascii="Arial" w:hAnsi="Arial" w:cs="Arial"/>
          <w:color w:val="000000"/>
        </w:rPr>
        <w:t>, solicitamos que os proponentes apresentem todas as informações bancárias, junto aos documentos para sua habilitação.</w:t>
      </w:r>
    </w:p>
    <w:p w:rsidR="00030FAC" w:rsidRDefault="00030FAC" w:rsidP="00A06DA7">
      <w:pPr>
        <w:suppressAutoHyphens w:val="0"/>
        <w:spacing w:after="0" w:line="360" w:lineRule="auto"/>
        <w:ind w:left="-426" w:right="-5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Desta forma a entrega dos documentos comprobatórios fica estabelecida:</w:t>
      </w:r>
    </w:p>
    <w:p w:rsidR="00030FAC" w:rsidRDefault="006B7E54" w:rsidP="00030FAC">
      <w:pPr>
        <w:suppressAutoHyphens w:val="0"/>
        <w:spacing w:after="0" w:line="360" w:lineRule="auto"/>
        <w:ind w:left="-426" w:right="-5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Data - </w:t>
      </w:r>
      <w:r w:rsidR="00030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17/07 a 05/08/2015</w:t>
      </w:r>
    </w:p>
    <w:p w:rsidR="00030FAC" w:rsidRDefault="00030FAC" w:rsidP="00030FAC">
      <w:pPr>
        <w:suppressAutoHyphens w:val="0"/>
        <w:spacing w:after="0" w:line="360" w:lineRule="auto"/>
        <w:ind w:left="-426" w:right="-5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Horário</w:t>
      </w:r>
      <w:r w:rsidR="006B7E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9h às 17h</w:t>
      </w:r>
    </w:p>
    <w:p w:rsidR="00030FAC" w:rsidRDefault="006B7E54" w:rsidP="00030FAC">
      <w:pPr>
        <w:suppressAutoHyphens w:val="0"/>
        <w:spacing w:after="0" w:line="360" w:lineRule="auto"/>
        <w:ind w:left="-426" w:right="-5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 - Secretaria da Cultura - R</w:t>
      </w:r>
      <w:r w:rsidR="00030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ua Souza Pereira, 440, Centro.</w:t>
      </w:r>
    </w:p>
    <w:p w:rsidR="001D28F7" w:rsidRDefault="001D28F7" w:rsidP="002868F5">
      <w:pPr>
        <w:pStyle w:val="western"/>
        <w:spacing w:before="280" w:after="0" w:line="360" w:lineRule="auto"/>
        <w:ind w:left="-567" w:right="-340"/>
        <w:jc w:val="both"/>
        <w:rPr>
          <w:rFonts w:ascii="Arial" w:hAnsi="Arial" w:cs="Arial"/>
        </w:rPr>
      </w:pPr>
    </w:p>
    <w:p w:rsidR="002E29BD" w:rsidRDefault="002868F5" w:rsidP="007614AB">
      <w:pPr>
        <w:pStyle w:val="western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</w:rPr>
        <w:t>Jaqueline Gomes da Silva</w:t>
      </w:r>
      <w:r>
        <w:rPr>
          <w:rFonts w:ascii="Arial" w:hAnsi="Arial" w:cs="Arial"/>
          <w:b/>
          <w:bCs/>
          <w:color w:val="000000"/>
        </w:rPr>
        <w:br/>
        <w:t>Secretár</w:t>
      </w:r>
      <w:r w:rsidR="006B7E54">
        <w:rPr>
          <w:rFonts w:ascii="Arial" w:hAnsi="Arial" w:cs="Arial"/>
          <w:b/>
          <w:bCs/>
          <w:color w:val="000000"/>
        </w:rPr>
        <w:t>ia de Cultura</w:t>
      </w:r>
      <w:r w:rsidR="006B7E54">
        <w:rPr>
          <w:rFonts w:ascii="Arial" w:hAnsi="Arial" w:cs="Arial"/>
          <w:b/>
          <w:bCs/>
          <w:color w:val="000000"/>
        </w:rPr>
        <w:br/>
        <w:t>Presidente da LINC</w:t>
      </w:r>
    </w:p>
    <w:sectPr w:rsidR="002E29BD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ED"/>
    <w:rsid w:val="00030FAC"/>
    <w:rsid w:val="0014250C"/>
    <w:rsid w:val="001B3986"/>
    <w:rsid w:val="001D28F7"/>
    <w:rsid w:val="002027F8"/>
    <w:rsid w:val="002868F5"/>
    <w:rsid w:val="002E29BD"/>
    <w:rsid w:val="003D2811"/>
    <w:rsid w:val="0058422C"/>
    <w:rsid w:val="00590275"/>
    <w:rsid w:val="005E15D8"/>
    <w:rsid w:val="006A151D"/>
    <w:rsid w:val="006B7E54"/>
    <w:rsid w:val="007614AB"/>
    <w:rsid w:val="007A6FC2"/>
    <w:rsid w:val="00852E97"/>
    <w:rsid w:val="00A06DA7"/>
    <w:rsid w:val="00A47421"/>
    <w:rsid w:val="00B1285D"/>
    <w:rsid w:val="00D72BB0"/>
    <w:rsid w:val="00F3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8F5"/>
    <w:pPr>
      <w:suppressAutoHyphens/>
    </w:pPr>
    <w:rPr>
      <w:rFonts w:ascii="Calibri" w:eastAsia="SimSun" w:hAnsi="Calibri" w:cs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2868F5"/>
    <w:rPr>
      <w:color w:val="000080"/>
      <w:u w:val="single"/>
    </w:rPr>
  </w:style>
  <w:style w:type="paragraph" w:customStyle="1" w:styleId="western">
    <w:name w:val="western"/>
    <w:basedOn w:val="Normal"/>
    <w:rsid w:val="002868F5"/>
    <w:pPr>
      <w:spacing w:after="142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8F5"/>
    <w:pPr>
      <w:suppressAutoHyphens/>
    </w:pPr>
    <w:rPr>
      <w:rFonts w:ascii="Calibri" w:eastAsia="SimSun" w:hAnsi="Calibri" w:cs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2868F5"/>
    <w:rPr>
      <w:color w:val="000080"/>
      <w:u w:val="single"/>
    </w:rPr>
  </w:style>
  <w:style w:type="paragraph" w:customStyle="1" w:styleId="western">
    <w:name w:val="western"/>
    <w:basedOn w:val="Normal"/>
    <w:rsid w:val="002868F5"/>
    <w:pPr>
      <w:spacing w:after="142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1209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Massarotto Lima dos Santos</dc:creator>
  <cp:keywords/>
  <dc:description/>
  <cp:lastModifiedBy>Régis Massarotto Lima dos Santos</cp:lastModifiedBy>
  <cp:revision>17</cp:revision>
  <cp:lastPrinted>2015-07-14T20:48:00Z</cp:lastPrinted>
  <dcterms:created xsi:type="dcterms:W3CDTF">2015-07-14T17:53:00Z</dcterms:created>
  <dcterms:modified xsi:type="dcterms:W3CDTF">2015-07-16T11:55:00Z</dcterms:modified>
</cp:coreProperties>
</file>